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0353" w14:textId="6152088F" w:rsidR="00AD7026" w:rsidRPr="009672CB" w:rsidRDefault="00AD7026" w:rsidP="00AD7026">
      <w:pPr>
        <w:rPr>
          <w:sz w:val="24"/>
          <w:szCs w:val="24"/>
        </w:rPr>
      </w:pPr>
      <w:r>
        <w:rPr>
          <w:sz w:val="24"/>
          <w:szCs w:val="24"/>
        </w:rPr>
        <w:t xml:space="preserve">Primer Part </w:t>
      </w:r>
      <w:r w:rsidR="00BF4B57">
        <w:rPr>
          <w:sz w:val="24"/>
          <w:szCs w:val="24"/>
        </w:rPr>
        <w:t>Four</w:t>
      </w:r>
    </w:p>
    <w:p w14:paraId="3A7781A9" w14:textId="77777777" w:rsidR="00AD7026" w:rsidRDefault="00AD7026" w:rsidP="00AD7026">
      <w:pPr>
        <w:spacing w:after="0" w:line="240" w:lineRule="auto"/>
        <w:rPr>
          <w:b/>
          <w:bCs/>
        </w:rPr>
      </w:pPr>
      <w:r>
        <w:rPr>
          <w:b/>
          <w:bCs/>
        </w:rPr>
        <w:t>Understanding the Role of Research in Parks and Protected Areas and Applying Evidence</w:t>
      </w:r>
    </w:p>
    <w:p w14:paraId="15B609A3" w14:textId="77777777" w:rsidR="00AD7026" w:rsidRDefault="00AD7026" w:rsidP="00AD7026">
      <w:pPr>
        <w:spacing w:after="0" w:line="240" w:lineRule="auto"/>
        <w:rPr>
          <w:b/>
          <w:bCs/>
        </w:rPr>
      </w:pPr>
    </w:p>
    <w:p w14:paraId="039C7282" w14:textId="77777777" w:rsidR="00AD7026" w:rsidRPr="009672CB" w:rsidRDefault="00AD7026" w:rsidP="00AD7026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23E192DC" wp14:editId="1FCBCD27">
            <wp:extent cx="5943600" cy="1983105"/>
            <wp:effectExtent l="0" t="0" r="0" b="0"/>
            <wp:docPr id="1" name="Picture 1" descr="What we heard - Jasper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we heard - Jasper National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271D" w14:textId="68F4006E" w:rsidR="00A55A19" w:rsidRDefault="00A55A19"/>
    <w:p w14:paraId="0E99D653" w14:textId="614B5A27" w:rsidR="00AD7026" w:rsidRDefault="00AD7026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Primer </w:t>
      </w:r>
      <w:r w:rsidRPr="000A3A01">
        <w:rPr>
          <w:rFonts w:cstheme="minorHAnsi"/>
          <w:u w:val="single"/>
        </w:rPr>
        <w:t>Readings and Resources</w:t>
      </w:r>
    </w:p>
    <w:p w14:paraId="58FC5B4C" w14:textId="77777777" w:rsidR="002F40A6" w:rsidRDefault="002F40A6" w:rsidP="002F40A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D7569">
        <w:rPr>
          <w:rFonts w:cstheme="minorHAnsi"/>
          <w:color w:val="222222"/>
          <w:shd w:val="clear" w:color="auto" w:fill="FFFFFF"/>
        </w:rPr>
        <w:t>López-Rodríguez, M. D., Castro,</w:t>
      </w:r>
      <w:r w:rsidRPr="00DE599B">
        <w:rPr>
          <w:rFonts w:cstheme="minorHAnsi"/>
          <w:color w:val="222222"/>
          <w:shd w:val="clear" w:color="auto" w:fill="FFFFFF"/>
        </w:rPr>
        <w:t xml:space="preserve"> H., Arenas, M., Requena-Mullor, J. M., Cano, A., Valenzuela, E., &amp; </w:t>
      </w:r>
    </w:p>
    <w:p w14:paraId="644769D2" w14:textId="77777777" w:rsidR="002F40A6" w:rsidRDefault="002F40A6" w:rsidP="002F40A6">
      <w:pPr>
        <w:spacing w:after="0" w:line="240" w:lineRule="auto"/>
        <w:ind w:left="567"/>
        <w:rPr>
          <w:rStyle w:val="Hyperlink"/>
          <w:rFonts w:cstheme="minorHAnsi"/>
          <w:shd w:val="clear" w:color="auto" w:fill="FCFCFC"/>
        </w:rPr>
      </w:pPr>
      <w:r w:rsidRPr="00DE599B">
        <w:rPr>
          <w:rFonts w:cstheme="minorHAnsi"/>
          <w:color w:val="222222"/>
          <w:shd w:val="clear" w:color="auto" w:fill="FFFFFF"/>
        </w:rPr>
        <w:t>Cabello, J. (2017). Exploring institutional mechanisms for scientific input into the management cycle of the national protected area network of Peru: Gaps and opportunities. </w:t>
      </w:r>
      <w:r w:rsidRPr="00DE599B">
        <w:rPr>
          <w:rFonts w:cstheme="minorHAnsi"/>
          <w:i/>
          <w:iCs/>
          <w:color w:val="222222"/>
          <w:shd w:val="clear" w:color="auto" w:fill="FFFFFF"/>
        </w:rPr>
        <w:t>Environmental management</w:t>
      </w:r>
      <w:r w:rsidRPr="00DE599B">
        <w:rPr>
          <w:rFonts w:cstheme="minorHAnsi"/>
          <w:color w:val="222222"/>
          <w:shd w:val="clear" w:color="auto" w:fill="FFFFFF"/>
        </w:rPr>
        <w:t>, </w:t>
      </w:r>
      <w:r w:rsidRPr="00DE599B">
        <w:rPr>
          <w:rFonts w:cstheme="minorHAnsi"/>
          <w:i/>
          <w:iCs/>
          <w:color w:val="222222"/>
          <w:shd w:val="clear" w:color="auto" w:fill="FFFFFF"/>
        </w:rPr>
        <w:t>60</w:t>
      </w:r>
      <w:r w:rsidRPr="00DE599B">
        <w:rPr>
          <w:rFonts w:cstheme="minorHAnsi"/>
          <w:color w:val="222222"/>
          <w:shd w:val="clear" w:color="auto" w:fill="FFFFFF"/>
        </w:rPr>
        <w:t xml:space="preserve">(6), 1022-1041. </w:t>
      </w:r>
      <w:hyperlink r:id="rId6" w:history="1">
        <w:r w:rsidRPr="00DE599B">
          <w:rPr>
            <w:rStyle w:val="Hyperlink"/>
            <w:rFonts w:cstheme="minorHAnsi"/>
            <w:shd w:val="clear" w:color="auto" w:fill="FCFCFC"/>
          </w:rPr>
          <w:t>https://doi.org/10.1007/s00267-017-0929-x</w:t>
        </w:r>
      </w:hyperlink>
    </w:p>
    <w:p w14:paraId="22B376C1" w14:textId="77777777" w:rsidR="002F40A6" w:rsidRDefault="002F40A6" w:rsidP="002F40A6">
      <w:pPr>
        <w:spacing w:after="0" w:line="240" w:lineRule="auto"/>
        <w:rPr>
          <w:rStyle w:val="Hyperlink"/>
          <w:rFonts w:cstheme="minorHAnsi"/>
          <w:shd w:val="clear" w:color="auto" w:fill="FCFCFC"/>
        </w:rPr>
      </w:pPr>
    </w:p>
    <w:p w14:paraId="22CE6894" w14:textId="380D9F77" w:rsidR="00AD7026" w:rsidRDefault="00AD7026"/>
    <w:p w14:paraId="320AF354" w14:textId="77777777" w:rsidR="002F40A6" w:rsidRPr="00F07C8C" w:rsidRDefault="002F40A6" w:rsidP="002F40A6">
      <w:pPr>
        <w:spacing w:after="0" w:line="240" w:lineRule="auto"/>
        <w:rPr>
          <w:u w:val="single"/>
        </w:rPr>
      </w:pPr>
      <w:r w:rsidRPr="00F07C8C">
        <w:rPr>
          <w:u w:val="single"/>
        </w:rPr>
        <w:t>Module Content</w:t>
      </w:r>
    </w:p>
    <w:p w14:paraId="6925B076" w14:textId="40DBD8AF" w:rsidR="002F40A6" w:rsidRDefault="002F40A6" w:rsidP="002F40A6">
      <w:pPr>
        <w:spacing w:after="0" w:line="240" w:lineRule="auto"/>
        <w:rPr>
          <w:i/>
          <w:iCs/>
        </w:rPr>
      </w:pPr>
      <w:r>
        <w:rPr>
          <w:i/>
          <w:iCs/>
        </w:rPr>
        <w:t>How Can We Mitigate the Challenges?</w:t>
      </w:r>
    </w:p>
    <w:p w14:paraId="65EF7BA0" w14:textId="64158D9F" w:rsidR="002F40A6" w:rsidRDefault="002F40A6" w:rsidP="002F40A6">
      <w:pPr>
        <w:spacing w:after="0" w:line="240" w:lineRule="auto"/>
      </w:pPr>
      <w:r>
        <w:t xml:space="preserve">The elements that support and facilitate </w:t>
      </w:r>
      <w:r>
        <w:t>using research in management</w:t>
      </w:r>
      <w:r>
        <w:t xml:space="preserve"> are not simply the opposite of the components that are considered </w:t>
      </w:r>
      <w:r>
        <w:t>challenges</w:t>
      </w:r>
      <w:r>
        <w:t xml:space="preserve">.  Lopez-Rodriguez et al. (2017) remind us that this is a challenge that is long-standing as they state “Understanding how to improve decision makers’ use of scientific information across their different scales of management is a core challenge for narrowing the gap between science and conservation practice” (p. 1022).  They go on to say that despite an interest in addressing the </w:t>
      </w:r>
      <w:r>
        <w:t>challenges</w:t>
      </w:r>
      <w:r>
        <w:t xml:space="preserve"> related to incorporating </w:t>
      </w:r>
      <w:r>
        <w:t>research</w:t>
      </w:r>
      <w:r>
        <w:t xml:space="preserve"> into decisions, “scientific knowledge remains underutilized in supporting conservation actions” (p. 1023).  However, there is hope for improving the situation.</w:t>
      </w:r>
    </w:p>
    <w:p w14:paraId="2F66A462" w14:textId="77777777" w:rsidR="002F40A6" w:rsidRDefault="002F40A6" w:rsidP="002F40A6">
      <w:pPr>
        <w:spacing w:after="0" w:line="240" w:lineRule="auto"/>
      </w:pPr>
    </w:p>
    <w:p w14:paraId="0FBD15BA" w14:textId="282A11BD" w:rsidR="002F40A6" w:rsidRDefault="002F40A6" w:rsidP="002F40A6">
      <w:pPr>
        <w:spacing w:after="0" w:line="240" w:lineRule="auto"/>
      </w:pPr>
      <w:r>
        <w:t xml:space="preserve">The </w:t>
      </w:r>
      <w:r>
        <w:t>challenges that were identified earlier</w:t>
      </w:r>
      <w:r>
        <w:t xml:space="preserve"> fell into two categories of personal and organizational </w:t>
      </w:r>
      <w:r>
        <w:t>challenges</w:t>
      </w:r>
      <w:r>
        <w:t xml:space="preserve">.  We will look at those </w:t>
      </w:r>
      <w:r>
        <w:t>challenges</w:t>
      </w:r>
      <w:r>
        <w:t xml:space="preserve"> through the lens of what can be done at an ind</w:t>
      </w:r>
      <w:r>
        <w:t>ividual</w:t>
      </w:r>
      <w:r>
        <w:t xml:space="preserve"> level, and what the organization or agency could do to increase the practice of applying </w:t>
      </w:r>
      <w:r>
        <w:t xml:space="preserve">research </w:t>
      </w:r>
      <w:r>
        <w:t xml:space="preserve">evidence to </w:t>
      </w:r>
      <w:r>
        <w:t>management</w:t>
      </w:r>
      <w:r>
        <w:t>.</w:t>
      </w:r>
    </w:p>
    <w:p w14:paraId="1A4DF86B" w14:textId="77777777" w:rsidR="001C40AB" w:rsidRDefault="001C40AB" w:rsidP="001C40AB">
      <w:pPr>
        <w:spacing w:after="0" w:line="240" w:lineRule="auto"/>
      </w:pPr>
    </w:p>
    <w:p w14:paraId="250A5376" w14:textId="404A8E9E" w:rsidR="001C40AB" w:rsidRDefault="001C40AB" w:rsidP="001C40AB">
      <w:pPr>
        <w:spacing w:after="0" w:line="240" w:lineRule="auto"/>
      </w:pPr>
      <w:r>
        <w:t>There are some</w:t>
      </w:r>
      <w:r>
        <w:t xml:space="preserve"> basic blocks which support a culture of incorporating research, data, or facts into </w:t>
      </w:r>
      <w:r>
        <w:t>planning and managing</w:t>
      </w:r>
      <w:r>
        <w:t xml:space="preserve">.  While these building blocks do not guarantee that </w:t>
      </w:r>
      <w:r>
        <w:t>research</w:t>
      </w:r>
      <w:r>
        <w:t xml:space="preserve"> will automatically be considered, they are steps to increase</w:t>
      </w:r>
      <w:r>
        <w:t xml:space="preserve"> its use.</w:t>
      </w:r>
    </w:p>
    <w:p w14:paraId="336B0394" w14:textId="77777777" w:rsidR="00F53ED9" w:rsidRDefault="00F53ED9" w:rsidP="00F53ED9">
      <w:pPr>
        <w:spacing w:after="0" w:line="240" w:lineRule="auto"/>
        <w:ind w:left="567"/>
      </w:pPr>
    </w:p>
    <w:p w14:paraId="1F038C38" w14:textId="2BB367DC" w:rsidR="00F53ED9" w:rsidRDefault="001C40AB" w:rsidP="00F53ED9">
      <w:pPr>
        <w:spacing w:after="0" w:line="240" w:lineRule="auto"/>
        <w:ind w:left="567"/>
      </w:pPr>
      <w:r>
        <w:rPr>
          <w:noProof/>
        </w:rPr>
        <w:lastRenderedPageBreak/>
        <w:drawing>
          <wp:inline distT="0" distB="0" distL="0" distR="0" wp14:anchorId="1CA43472" wp14:editId="627CC4DD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433D96E" w14:textId="77777777" w:rsidR="00F53ED9" w:rsidRDefault="00F53ED9"/>
    <w:p w14:paraId="214D7424" w14:textId="35C1F8B2" w:rsidR="001C40AB" w:rsidRDefault="001C40AB" w:rsidP="001C40AB">
      <w:pPr>
        <w:spacing w:after="0" w:line="240" w:lineRule="auto"/>
      </w:pPr>
      <w:r>
        <w:t>Other facilitators</w:t>
      </w:r>
      <w:r>
        <w:t xml:space="preserve"> could be</w:t>
      </w:r>
      <w:r>
        <w:t>:</w:t>
      </w:r>
    </w:p>
    <w:p w14:paraId="336D3B48" w14:textId="77777777" w:rsidR="001C40AB" w:rsidRDefault="001C40AB" w:rsidP="001C40AB">
      <w:pPr>
        <w:pStyle w:val="ListParagraph"/>
        <w:numPr>
          <w:ilvl w:val="0"/>
          <w:numId w:val="3"/>
        </w:numPr>
        <w:spacing w:after="0" w:line="240" w:lineRule="auto"/>
      </w:pPr>
      <w:r>
        <w:t>Better relationships, communication channels, platforms, and collaboration between researchers, decision- and policy- makers (including trans-disciplines)</w:t>
      </w:r>
    </w:p>
    <w:p w14:paraId="64F23560" w14:textId="394658CB" w:rsidR="00AD7026" w:rsidRDefault="001C40AB" w:rsidP="001C40A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Encourage researchers to publish in more accessible journals and make their research more accessible to decision-makers.  </w:t>
      </w:r>
    </w:p>
    <w:p w14:paraId="5AC9441A" w14:textId="381F660B" w:rsidR="001C40AB" w:rsidRDefault="001C40AB" w:rsidP="001C40AB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40AB" w14:paraId="619D71E9" w14:textId="77777777" w:rsidTr="008B7DF1">
        <w:tc>
          <w:tcPr>
            <w:tcW w:w="4675" w:type="dxa"/>
            <w:shd w:val="clear" w:color="auto" w:fill="D9E2F3" w:themeFill="accent1" w:themeFillTint="33"/>
          </w:tcPr>
          <w:p w14:paraId="15C96647" w14:textId="77777777" w:rsidR="001C40AB" w:rsidRDefault="001C40AB" w:rsidP="008B7DF1">
            <w:pPr>
              <w:pStyle w:val="ListParagraph"/>
              <w:ind w:left="0"/>
              <w:jc w:val="center"/>
            </w:pPr>
            <w:r>
              <w:t>What Individuals Can Do to Facilitate Evidence-Based Decision-Making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A6568CA" w14:textId="77777777" w:rsidR="001C40AB" w:rsidRDefault="001C40AB" w:rsidP="008B7DF1">
            <w:pPr>
              <w:pStyle w:val="ListParagraph"/>
              <w:ind w:left="0"/>
              <w:jc w:val="center"/>
            </w:pPr>
            <w:r>
              <w:t>What Organizations, Agencies, and Groups Can Do to Facilitate Evidence-Based Decision-Making</w:t>
            </w:r>
          </w:p>
          <w:p w14:paraId="4F71F3A9" w14:textId="77777777" w:rsidR="001C40AB" w:rsidRDefault="001C40AB" w:rsidP="008B7DF1">
            <w:pPr>
              <w:pStyle w:val="ListParagraph"/>
              <w:ind w:left="0"/>
              <w:jc w:val="center"/>
            </w:pPr>
          </w:p>
        </w:tc>
      </w:tr>
      <w:tr w:rsidR="001C40AB" w14:paraId="3FB9B288" w14:textId="77777777" w:rsidTr="008B7DF1">
        <w:tc>
          <w:tcPr>
            <w:tcW w:w="4675" w:type="dxa"/>
          </w:tcPr>
          <w:p w14:paraId="7027D77A" w14:textId="77777777" w:rsidR="001C40AB" w:rsidRDefault="001C40AB" w:rsidP="008B7DF1">
            <w:pPr>
              <w:pStyle w:val="ListParagraph"/>
              <w:ind w:left="0"/>
            </w:pPr>
            <w:r>
              <w:t>Increase personal awareness of where to look for evidence/data/information (cultivate a network)</w:t>
            </w:r>
          </w:p>
          <w:p w14:paraId="4382495F" w14:textId="77777777" w:rsidR="001C40AB" w:rsidRDefault="001C40AB" w:rsidP="008B7DF1">
            <w:pPr>
              <w:pStyle w:val="ListParagraph"/>
              <w:ind w:left="0"/>
            </w:pPr>
          </w:p>
          <w:p w14:paraId="7845AAA2" w14:textId="77777777" w:rsidR="001C40AB" w:rsidRDefault="001C40AB" w:rsidP="008B7DF1">
            <w:pPr>
              <w:pStyle w:val="ListParagraph"/>
              <w:ind w:left="0"/>
            </w:pPr>
            <w:r>
              <w:t>Increase personal skills for searching for data</w:t>
            </w:r>
          </w:p>
          <w:p w14:paraId="23B002FD" w14:textId="77777777" w:rsidR="001C40AB" w:rsidRDefault="001C40AB" w:rsidP="008B7DF1">
            <w:pPr>
              <w:pStyle w:val="ListParagraph"/>
              <w:ind w:left="0"/>
            </w:pPr>
          </w:p>
          <w:p w14:paraId="326F5A62" w14:textId="77777777" w:rsidR="001C40AB" w:rsidRDefault="001C40AB" w:rsidP="008B7DF1">
            <w:pPr>
              <w:pStyle w:val="ListParagraph"/>
              <w:ind w:left="0"/>
            </w:pPr>
            <w:r>
              <w:t>Increase critical thinking skills for the purpose of evaluating research/evidence</w:t>
            </w:r>
          </w:p>
          <w:p w14:paraId="74EB3D76" w14:textId="77777777" w:rsidR="001C40AB" w:rsidRDefault="001C40AB" w:rsidP="008B7DF1">
            <w:pPr>
              <w:pStyle w:val="ListParagraph"/>
              <w:ind w:left="0"/>
            </w:pPr>
          </w:p>
          <w:p w14:paraId="7FA1CC3A" w14:textId="77777777" w:rsidR="001C40AB" w:rsidRDefault="001C40AB" w:rsidP="008B7DF1">
            <w:pPr>
              <w:pStyle w:val="ListParagraph"/>
              <w:ind w:left="0"/>
            </w:pPr>
            <w:r>
              <w:t>Increase skills in communicating evidence to decision-makers</w:t>
            </w:r>
          </w:p>
          <w:p w14:paraId="7D24D0B7" w14:textId="77777777" w:rsidR="001C40AB" w:rsidRDefault="001C40AB" w:rsidP="008B7DF1">
            <w:pPr>
              <w:pStyle w:val="ListParagraph"/>
              <w:ind w:left="0"/>
            </w:pPr>
          </w:p>
          <w:p w14:paraId="0868023B" w14:textId="77777777" w:rsidR="001C40AB" w:rsidRDefault="001C40AB" w:rsidP="008B7DF1">
            <w:pPr>
              <w:pStyle w:val="ListParagraph"/>
              <w:ind w:left="0"/>
            </w:pPr>
            <w:r>
              <w:t>Take charge of the things that are within your sphere of power or influence and advocate for those that are outside that sphere</w:t>
            </w:r>
          </w:p>
        </w:tc>
        <w:tc>
          <w:tcPr>
            <w:tcW w:w="4675" w:type="dxa"/>
          </w:tcPr>
          <w:p w14:paraId="192A4DC1" w14:textId="77777777" w:rsidR="001C40AB" w:rsidRDefault="001C40AB" w:rsidP="008B7DF1">
            <w:pPr>
              <w:pStyle w:val="ListParagraph"/>
              <w:ind w:left="0"/>
            </w:pPr>
            <w:r>
              <w:t>Allow adequate time for the process of applying evidence to decisions</w:t>
            </w:r>
          </w:p>
          <w:p w14:paraId="06F5A10F" w14:textId="77777777" w:rsidR="001C40AB" w:rsidRDefault="001C40AB" w:rsidP="008B7DF1">
            <w:pPr>
              <w:pStyle w:val="ListParagraph"/>
              <w:ind w:left="0"/>
            </w:pPr>
          </w:p>
          <w:p w14:paraId="18307BEB" w14:textId="77777777" w:rsidR="001C40AB" w:rsidRDefault="001C40AB" w:rsidP="008B7DF1">
            <w:pPr>
              <w:pStyle w:val="ListParagraph"/>
              <w:ind w:left="0"/>
            </w:pPr>
            <w:r>
              <w:t>Initiate a repository for evidence/data/research findings</w:t>
            </w:r>
          </w:p>
          <w:p w14:paraId="170E9415" w14:textId="77777777" w:rsidR="001C40AB" w:rsidRDefault="001C40AB" w:rsidP="008B7DF1">
            <w:pPr>
              <w:pStyle w:val="ListParagraph"/>
              <w:ind w:left="0"/>
            </w:pPr>
          </w:p>
          <w:p w14:paraId="25539577" w14:textId="77777777" w:rsidR="001C40AB" w:rsidRDefault="001C40AB" w:rsidP="008B7DF1">
            <w:pPr>
              <w:pStyle w:val="ListParagraph"/>
              <w:ind w:left="0"/>
            </w:pPr>
            <w:r>
              <w:t>Advocate for open access to data</w:t>
            </w:r>
          </w:p>
          <w:p w14:paraId="1299B3AD" w14:textId="77777777" w:rsidR="001C40AB" w:rsidRDefault="001C40AB" w:rsidP="008B7DF1">
            <w:pPr>
              <w:pStyle w:val="ListParagraph"/>
              <w:ind w:left="0"/>
            </w:pPr>
          </w:p>
          <w:p w14:paraId="2D8EA53A" w14:textId="77777777" w:rsidR="001C40AB" w:rsidRDefault="001C40AB" w:rsidP="008B7DF1">
            <w:pPr>
              <w:pStyle w:val="ListParagraph"/>
              <w:ind w:left="0"/>
            </w:pPr>
            <w:r>
              <w:t>Share organization’s research with others</w:t>
            </w:r>
          </w:p>
          <w:p w14:paraId="54657072" w14:textId="77777777" w:rsidR="001C40AB" w:rsidRDefault="001C40AB" w:rsidP="008B7DF1">
            <w:pPr>
              <w:pStyle w:val="ListParagraph"/>
              <w:ind w:left="0"/>
            </w:pPr>
          </w:p>
          <w:p w14:paraId="52979F1A" w14:textId="77777777" w:rsidR="001C40AB" w:rsidRDefault="001C40AB" w:rsidP="008B7DF1">
            <w:pPr>
              <w:pStyle w:val="ListParagraph"/>
              <w:ind w:left="0"/>
            </w:pPr>
            <w:r>
              <w:t>Make it easier for researchers to communicate and collaborate with agencies</w:t>
            </w:r>
          </w:p>
          <w:p w14:paraId="1DBF928C" w14:textId="77777777" w:rsidR="001C40AB" w:rsidRDefault="001C40AB" w:rsidP="008B7DF1">
            <w:pPr>
              <w:pStyle w:val="ListParagraph"/>
              <w:ind w:left="0"/>
            </w:pPr>
          </w:p>
          <w:p w14:paraId="5965C020" w14:textId="77777777" w:rsidR="001C40AB" w:rsidRDefault="001C40AB" w:rsidP="008B7DF1">
            <w:pPr>
              <w:pStyle w:val="ListParagraph"/>
              <w:ind w:left="0"/>
            </w:pPr>
            <w:r>
              <w:t>Initiate incentives for incorporating evidence into decisions (i.e., performance reviews)</w:t>
            </w:r>
          </w:p>
          <w:p w14:paraId="2F887F77" w14:textId="77777777" w:rsidR="001C40AB" w:rsidRDefault="001C40AB" w:rsidP="008B7DF1">
            <w:pPr>
              <w:pStyle w:val="ListParagraph"/>
              <w:ind w:left="0"/>
            </w:pPr>
          </w:p>
          <w:p w14:paraId="228ECB07" w14:textId="77777777" w:rsidR="001C40AB" w:rsidRDefault="001C40AB" w:rsidP="008B7DF1">
            <w:pPr>
              <w:pStyle w:val="ListParagraph"/>
              <w:ind w:left="0"/>
            </w:pPr>
            <w:r>
              <w:t>Empower individuals to make ‘leaf’ decisions</w:t>
            </w:r>
          </w:p>
          <w:p w14:paraId="5B0F9A5E" w14:textId="77777777" w:rsidR="001C40AB" w:rsidRDefault="001C40AB" w:rsidP="008B7DF1">
            <w:pPr>
              <w:pStyle w:val="ListParagraph"/>
              <w:ind w:left="0"/>
            </w:pPr>
          </w:p>
          <w:p w14:paraId="00A1E54A" w14:textId="77777777" w:rsidR="001C40AB" w:rsidRDefault="001C40AB" w:rsidP="008B7DF1">
            <w:pPr>
              <w:pStyle w:val="ListParagraph"/>
              <w:ind w:left="0"/>
            </w:pPr>
            <w:r>
              <w:lastRenderedPageBreak/>
              <w:t>Provide resources for researchers to produce materials that communicate their research</w:t>
            </w:r>
          </w:p>
          <w:p w14:paraId="5DE5F2E4" w14:textId="77777777" w:rsidR="001C40AB" w:rsidRDefault="001C40AB" w:rsidP="008B7DF1">
            <w:pPr>
              <w:pStyle w:val="ListParagraph"/>
              <w:ind w:left="0"/>
            </w:pPr>
          </w:p>
          <w:p w14:paraId="59A3F8B5" w14:textId="77777777" w:rsidR="001C40AB" w:rsidRDefault="001C40AB" w:rsidP="008B7DF1">
            <w:pPr>
              <w:pStyle w:val="ListParagraph"/>
              <w:ind w:left="0"/>
            </w:pPr>
            <w:r>
              <w:t>Develop clear processes for incorporating evidence into decision-making</w:t>
            </w:r>
          </w:p>
          <w:p w14:paraId="028921EE" w14:textId="77777777" w:rsidR="001C40AB" w:rsidRDefault="001C40AB" w:rsidP="008B7DF1">
            <w:pPr>
              <w:pStyle w:val="ListParagraph"/>
              <w:ind w:left="0"/>
            </w:pPr>
          </w:p>
          <w:p w14:paraId="61E769B2" w14:textId="77777777" w:rsidR="001C40AB" w:rsidRDefault="001C40AB" w:rsidP="008B7DF1">
            <w:pPr>
              <w:pStyle w:val="ListParagraph"/>
              <w:ind w:left="0"/>
            </w:pPr>
            <w:r>
              <w:t>Streamline information sharing within and between organizations, agencies, and groups</w:t>
            </w:r>
          </w:p>
          <w:p w14:paraId="05CEC163" w14:textId="77777777" w:rsidR="001C40AB" w:rsidRDefault="001C40AB" w:rsidP="008B7DF1">
            <w:pPr>
              <w:pStyle w:val="ListParagraph"/>
              <w:ind w:left="0"/>
            </w:pPr>
          </w:p>
          <w:p w14:paraId="67DDB6C6" w14:textId="77777777" w:rsidR="001C40AB" w:rsidRDefault="001C40AB" w:rsidP="008B7DF1">
            <w:pPr>
              <w:pStyle w:val="ListParagraph"/>
              <w:ind w:left="0"/>
            </w:pPr>
            <w:r>
              <w:t>Conduct a social network analysis to learn how information is shared within and between agencies</w:t>
            </w:r>
          </w:p>
        </w:tc>
      </w:tr>
    </w:tbl>
    <w:p w14:paraId="279A7E1A" w14:textId="6CE47792" w:rsidR="001C40AB" w:rsidRDefault="001C40AB" w:rsidP="001C40AB">
      <w:pPr>
        <w:pStyle w:val="ListParagraph"/>
        <w:spacing w:after="0" w:line="240" w:lineRule="auto"/>
      </w:pPr>
    </w:p>
    <w:p w14:paraId="13CC0ADC" w14:textId="77777777" w:rsidR="001C40AB" w:rsidRDefault="001C40AB" w:rsidP="001C40AB">
      <w:pPr>
        <w:pStyle w:val="ListParagraph"/>
        <w:spacing w:after="0" w:line="240" w:lineRule="auto"/>
      </w:pPr>
    </w:p>
    <w:p w14:paraId="2AD345F1" w14:textId="7C46C858" w:rsidR="00AD7026" w:rsidRPr="001C40AB" w:rsidRDefault="00AD7026">
      <w:pPr>
        <w:rPr>
          <w:u w:val="single"/>
        </w:rPr>
      </w:pPr>
      <w:r w:rsidRPr="001C40AB">
        <w:rPr>
          <w:u w:val="single"/>
        </w:rPr>
        <w:t>Self-</w:t>
      </w:r>
      <w:r w:rsidR="001C40AB" w:rsidRPr="001C40AB">
        <w:rPr>
          <w:u w:val="single"/>
        </w:rPr>
        <w:t>D</w:t>
      </w:r>
      <w:r w:rsidRPr="001C40AB">
        <w:rPr>
          <w:u w:val="single"/>
        </w:rPr>
        <w:t>irected Activities</w:t>
      </w:r>
    </w:p>
    <w:p w14:paraId="2C6DCBF7" w14:textId="02EF04AE" w:rsidR="00AD7026" w:rsidRDefault="00AD7026">
      <w:pPr>
        <w:rPr>
          <w:i/>
          <w:iCs/>
        </w:rPr>
      </w:pPr>
      <w:r w:rsidRPr="00AD7026">
        <w:rPr>
          <w:i/>
          <w:iCs/>
        </w:rPr>
        <w:t>For Your Own Understanding</w:t>
      </w:r>
    </w:p>
    <w:p w14:paraId="560A8BA9" w14:textId="5089CE44" w:rsidR="001C40AB" w:rsidRPr="008D0CCD" w:rsidRDefault="008D0CCD" w:rsidP="001C40AB">
      <w:pPr>
        <w:spacing w:after="0" w:line="240" w:lineRule="auto"/>
        <w:rPr>
          <w:b/>
          <w:bCs/>
        </w:rPr>
      </w:pPr>
      <w:r>
        <w:t>Describe</w:t>
      </w:r>
      <w:r w:rsidR="001C40AB" w:rsidRPr="00221F29">
        <w:t xml:space="preserve"> at least three things </w:t>
      </w:r>
      <w:r w:rsidR="001C40AB">
        <w:t>you</w:t>
      </w:r>
      <w:r w:rsidR="001C40AB" w:rsidRPr="00221F29">
        <w:t xml:space="preserve"> could do to </w:t>
      </w:r>
      <w:r w:rsidR="001C40AB">
        <w:t>reduce the challenges</w:t>
      </w:r>
      <w:r w:rsidR="001C40AB" w:rsidRPr="00221F29">
        <w:t xml:space="preserve"> </w:t>
      </w:r>
      <w:r w:rsidR="001C40AB">
        <w:t>you</w:t>
      </w:r>
      <w:r w:rsidR="001C40AB" w:rsidRPr="00221F29">
        <w:t xml:space="preserve"> </w:t>
      </w:r>
      <w:r w:rsidR="001C40AB">
        <w:t>identified</w:t>
      </w:r>
      <w:r w:rsidR="001C40AB" w:rsidRPr="00221F29">
        <w:t xml:space="preserve"> </w:t>
      </w:r>
      <w:r w:rsidR="001C40AB">
        <w:t>earlier</w:t>
      </w:r>
      <w:r w:rsidR="001C40AB" w:rsidRPr="00221F29">
        <w:t xml:space="preserve">.  </w:t>
      </w:r>
      <w:r w:rsidR="001C40AB">
        <w:t>What can you do as an</w:t>
      </w:r>
      <w:r w:rsidR="001C40AB" w:rsidRPr="00221F29">
        <w:t xml:space="preserve"> individual and what </w:t>
      </w:r>
      <w:r w:rsidR="001C40AB">
        <w:t>can you advocate for within your</w:t>
      </w:r>
      <w:r w:rsidR="001C40AB" w:rsidRPr="00221F29">
        <w:t xml:space="preserve"> organization, agency, or group could do to improve </w:t>
      </w:r>
      <w:r>
        <w:t>the incorporation of research into practice</w:t>
      </w:r>
      <w:r w:rsidR="001C40AB">
        <w:t>?</w:t>
      </w:r>
      <w:r>
        <w:t xml:space="preserve">  </w:t>
      </w:r>
      <w:r w:rsidRPr="008D0CCD">
        <w:rPr>
          <w:b/>
          <w:bCs/>
        </w:rPr>
        <w:t>Write a paragraph or two describing your approach.</w:t>
      </w:r>
    </w:p>
    <w:p w14:paraId="6D9CA32A" w14:textId="77777777" w:rsidR="001C40AB" w:rsidRDefault="001C40AB" w:rsidP="001C40AB">
      <w:pPr>
        <w:spacing w:after="0" w:line="240" w:lineRule="auto"/>
      </w:pPr>
    </w:p>
    <w:p w14:paraId="1730701C" w14:textId="77777777" w:rsidR="001C40AB" w:rsidRDefault="001C40AB" w:rsidP="001C40AB">
      <w:pPr>
        <w:spacing w:after="0" w:line="240" w:lineRule="auto"/>
      </w:pPr>
      <w:r w:rsidRPr="00FE4AA2">
        <w:t xml:space="preserve">What else could you add to the list of facilitators for evidence-based decision-making? </w:t>
      </w:r>
    </w:p>
    <w:p w14:paraId="3849ADED" w14:textId="5ECC265C" w:rsidR="001C40AB" w:rsidRPr="00FE4AA2" w:rsidRDefault="001C40AB" w:rsidP="001C40AB">
      <w:pPr>
        <w:spacing w:after="0" w:line="240" w:lineRule="auto"/>
      </w:pPr>
      <w:r>
        <w:t xml:space="preserve">What facilitators do you observe in your organization, agency or group and how do they support </w:t>
      </w:r>
      <w:r w:rsidR="008D0CCD">
        <w:t>the incorporation of research</w:t>
      </w:r>
      <w:r>
        <w:t>?  Give examples.</w:t>
      </w:r>
    </w:p>
    <w:p w14:paraId="269329C1" w14:textId="30E82CC7" w:rsidR="001C40AB" w:rsidRPr="001C40AB" w:rsidRDefault="001C40AB"/>
    <w:p w14:paraId="73779122" w14:textId="46C90A50" w:rsidR="00AD7026" w:rsidRPr="00AD7026" w:rsidRDefault="00AD7026" w:rsidP="00AD7026">
      <w:pPr>
        <w:pStyle w:val="ListParagraph"/>
        <w:ind w:left="0"/>
        <w:rPr>
          <w:i/>
          <w:iCs/>
        </w:rPr>
      </w:pPr>
      <w:r w:rsidRPr="00AD7026">
        <w:rPr>
          <w:i/>
          <w:iCs/>
        </w:rPr>
        <w:t xml:space="preserve">For </w:t>
      </w:r>
      <w:r>
        <w:rPr>
          <w:i/>
          <w:iCs/>
        </w:rPr>
        <w:t>Y</w:t>
      </w:r>
      <w:r w:rsidRPr="00AD7026">
        <w:rPr>
          <w:i/>
          <w:iCs/>
        </w:rPr>
        <w:t xml:space="preserve">our </w:t>
      </w:r>
      <w:r>
        <w:rPr>
          <w:i/>
          <w:iCs/>
        </w:rPr>
        <w:t>L</w:t>
      </w:r>
      <w:r w:rsidRPr="00AD7026">
        <w:rPr>
          <w:i/>
          <w:iCs/>
        </w:rPr>
        <w:t>earning</w:t>
      </w:r>
    </w:p>
    <w:p w14:paraId="55985B2B" w14:textId="51BAEE2E" w:rsidR="00CF02EC" w:rsidRDefault="00CF02EC" w:rsidP="008D0CCD">
      <w:r w:rsidRPr="008D0CCD">
        <w:rPr>
          <w:b/>
          <w:bCs/>
        </w:rPr>
        <w:t xml:space="preserve">Seek out </w:t>
      </w:r>
      <w:r w:rsidR="008D0CCD" w:rsidRPr="008D0CCD">
        <w:rPr>
          <w:b/>
          <w:bCs/>
        </w:rPr>
        <w:t>another</w:t>
      </w:r>
      <w:r w:rsidRPr="008D0CCD">
        <w:rPr>
          <w:b/>
          <w:bCs/>
        </w:rPr>
        <w:t xml:space="preserve"> professional and conduct an informal interview</w:t>
      </w:r>
      <w:r w:rsidRPr="008D0CCD">
        <w:t xml:space="preserve"> to learn about </w:t>
      </w:r>
      <w:r w:rsidR="008D0CCD" w:rsidRPr="008D0CCD">
        <w:t xml:space="preserve">how they deal with these challenges.  </w:t>
      </w:r>
      <w:r w:rsidRPr="008D0CCD">
        <w:t>How do</w:t>
      </w:r>
      <w:r w:rsidR="00BF4B57" w:rsidRPr="008D0CCD">
        <w:t>es</w:t>
      </w:r>
      <w:r w:rsidRPr="008D0CCD">
        <w:t xml:space="preserve"> their experience compare with yours?  What did you learn from this activity?</w:t>
      </w:r>
    </w:p>
    <w:p w14:paraId="5D123B38" w14:textId="1DA35EE7" w:rsidR="008D0CCD" w:rsidRPr="008D0CCD" w:rsidRDefault="008D0CCD" w:rsidP="008D0CCD">
      <w:r w:rsidRPr="008D0CCD">
        <w:rPr>
          <w:b/>
          <w:bCs/>
        </w:rPr>
        <w:t>Continue to develop your presentation product</w:t>
      </w:r>
      <w:r>
        <w:t xml:space="preserve"> and continue preparing your presentation.</w:t>
      </w:r>
    </w:p>
    <w:p w14:paraId="09D43DA6" w14:textId="2E4DB42A" w:rsidR="00AD7026" w:rsidRDefault="00AD7026"/>
    <w:p w14:paraId="4159160C" w14:textId="77777777" w:rsidR="00AD7026" w:rsidRPr="00AD7026" w:rsidRDefault="00AD7026"/>
    <w:sectPr w:rsidR="00AD7026" w:rsidRPr="00AD7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13F8"/>
    <w:multiLevelType w:val="hybridMultilevel"/>
    <w:tmpl w:val="9F60A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E87"/>
    <w:multiLevelType w:val="hybridMultilevel"/>
    <w:tmpl w:val="C472F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7447"/>
    <w:multiLevelType w:val="hybridMultilevel"/>
    <w:tmpl w:val="5F2215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26"/>
    <w:rsid w:val="00054298"/>
    <w:rsid w:val="001C40AB"/>
    <w:rsid w:val="002C4808"/>
    <w:rsid w:val="002F40A6"/>
    <w:rsid w:val="008D0CCD"/>
    <w:rsid w:val="00A55A19"/>
    <w:rsid w:val="00AD7026"/>
    <w:rsid w:val="00BF4B57"/>
    <w:rsid w:val="00C7075F"/>
    <w:rsid w:val="00CF02EC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22F7"/>
  <w15:chartTrackingRefBased/>
  <w15:docId w15:val="{9F594387-9D80-48DC-86C6-528D0580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267-017-0929-x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054866-C16E-4E19-BE36-06C148FE1A7D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60F153C4-9291-47F2-8108-0F60489F02DE}">
      <dgm:prSet phldrT="[Text]"/>
      <dgm:spPr/>
      <dgm:t>
        <a:bodyPr/>
        <a:lstStyle/>
        <a:p>
          <a:r>
            <a:rPr lang="en-CA"/>
            <a:t>Solid, justifiable, defendable decision</a:t>
          </a:r>
        </a:p>
      </dgm:t>
    </dgm:pt>
    <dgm:pt modelId="{F91F0ADB-BFAC-4ED0-8A91-AC4A4247BAE6}" type="parTrans" cxnId="{2E69CAA1-698F-453A-853C-12A73C2946E5}">
      <dgm:prSet/>
      <dgm:spPr/>
      <dgm:t>
        <a:bodyPr/>
        <a:lstStyle/>
        <a:p>
          <a:endParaRPr lang="en-CA"/>
        </a:p>
      </dgm:t>
    </dgm:pt>
    <dgm:pt modelId="{63F67257-C6B6-46EB-8199-F15F3BC7BB10}" type="sibTrans" cxnId="{2E69CAA1-698F-453A-853C-12A73C2946E5}">
      <dgm:prSet/>
      <dgm:spPr/>
      <dgm:t>
        <a:bodyPr/>
        <a:lstStyle/>
        <a:p>
          <a:endParaRPr lang="en-CA"/>
        </a:p>
      </dgm:t>
    </dgm:pt>
    <dgm:pt modelId="{32F3FB15-37E6-4CED-AA94-D6B93BA75328}">
      <dgm:prSet phldrT="[Text]"/>
      <dgm:spPr/>
      <dgm:t>
        <a:bodyPr/>
        <a:lstStyle/>
        <a:p>
          <a:r>
            <a:rPr lang="en-CA"/>
            <a:t>Good evaluation of research/data/evidence using critical thinking</a:t>
          </a:r>
        </a:p>
      </dgm:t>
    </dgm:pt>
    <dgm:pt modelId="{47F56704-5933-4D43-83C4-1419C2574F89}" type="parTrans" cxnId="{75D03057-C77A-436C-9060-E4FAFB7B96B8}">
      <dgm:prSet/>
      <dgm:spPr/>
      <dgm:t>
        <a:bodyPr/>
        <a:lstStyle/>
        <a:p>
          <a:endParaRPr lang="en-CA"/>
        </a:p>
      </dgm:t>
    </dgm:pt>
    <dgm:pt modelId="{B154802C-E9DB-4074-BF77-92F55A65A3D4}" type="sibTrans" cxnId="{75D03057-C77A-436C-9060-E4FAFB7B96B8}">
      <dgm:prSet/>
      <dgm:spPr/>
      <dgm:t>
        <a:bodyPr/>
        <a:lstStyle/>
        <a:p>
          <a:endParaRPr lang="en-CA"/>
        </a:p>
      </dgm:t>
    </dgm:pt>
    <dgm:pt modelId="{95E17B37-5EED-4A4C-A2E1-9B24CA42FB8B}">
      <dgm:prSet phldrT="[Text]"/>
      <dgm:spPr/>
      <dgm:t>
        <a:bodyPr/>
        <a:lstStyle/>
        <a:p>
          <a:r>
            <a:rPr lang="en-CA"/>
            <a:t>Clear processes for applying evidence to decision-making</a:t>
          </a:r>
        </a:p>
      </dgm:t>
    </dgm:pt>
    <dgm:pt modelId="{B5F52962-B71F-4D79-B8F3-F7111A2632E2}" type="parTrans" cxnId="{E58C4C9D-7C5C-425F-A84C-F88DC548A3C9}">
      <dgm:prSet/>
      <dgm:spPr/>
      <dgm:t>
        <a:bodyPr/>
        <a:lstStyle/>
        <a:p>
          <a:endParaRPr lang="en-CA"/>
        </a:p>
      </dgm:t>
    </dgm:pt>
    <dgm:pt modelId="{4B912BF0-B0B5-44E5-BE00-83D7A9E6EEB7}" type="sibTrans" cxnId="{E58C4C9D-7C5C-425F-A84C-F88DC548A3C9}">
      <dgm:prSet/>
      <dgm:spPr/>
      <dgm:t>
        <a:bodyPr/>
        <a:lstStyle/>
        <a:p>
          <a:endParaRPr lang="en-CA"/>
        </a:p>
      </dgm:t>
    </dgm:pt>
    <dgm:pt modelId="{3FDAFE14-8BF1-4E60-8C5B-908560C52485}">
      <dgm:prSet/>
      <dgm:spPr/>
      <dgm:t>
        <a:bodyPr/>
        <a:lstStyle/>
        <a:p>
          <a:r>
            <a:rPr lang="en-CA"/>
            <a:t>Availability and accessibility of research findings/ evidence/data/information</a:t>
          </a:r>
        </a:p>
      </dgm:t>
    </dgm:pt>
    <dgm:pt modelId="{41693091-4F70-44C2-B17C-105306377946}" type="parTrans" cxnId="{376D6EAF-191F-4ADA-AB2F-21837590B87C}">
      <dgm:prSet/>
      <dgm:spPr/>
      <dgm:t>
        <a:bodyPr/>
        <a:lstStyle/>
        <a:p>
          <a:endParaRPr lang="en-CA"/>
        </a:p>
      </dgm:t>
    </dgm:pt>
    <dgm:pt modelId="{49321C46-6EE2-4510-9362-83A6F21608E4}" type="sibTrans" cxnId="{376D6EAF-191F-4ADA-AB2F-21837590B87C}">
      <dgm:prSet/>
      <dgm:spPr/>
      <dgm:t>
        <a:bodyPr/>
        <a:lstStyle/>
        <a:p>
          <a:endParaRPr lang="en-CA"/>
        </a:p>
      </dgm:t>
    </dgm:pt>
    <dgm:pt modelId="{14D42143-AF08-4817-B2C3-A417A6F17A72}">
      <dgm:prSet/>
      <dgm:spPr/>
      <dgm:t>
        <a:bodyPr/>
        <a:lstStyle/>
        <a:p>
          <a:r>
            <a:rPr lang="en-CA"/>
            <a:t>Belief in value of using evidence to support decisions</a:t>
          </a:r>
        </a:p>
      </dgm:t>
    </dgm:pt>
    <dgm:pt modelId="{9C786FE6-65D5-4DF6-B812-23ED84BBBD24}" type="parTrans" cxnId="{9F8CCC02-C83F-471F-BC71-AAD83B9F1F0D}">
      <dgm:prSet/>
      <dgm:spPr/>
      <dgm:t>
        <a:bodyPr/>
        <a:lstStyle/>
        <a:p>
          <a:endParaRPr lang="en-CA"/>
        </a:p>
      </dgm:t>
    </dgm:pt>
    <dgm:pt modelId="{621B48A2-6767-4F15-B9E8-44D910303D5D}" type="sibTrans" cxnId="{9F8CCC02-C83F-471F-BC71-AAD83B9F1F0D}">
      <dgm:prSet/>
      <dgm:spPr/>
      <dgm:t>
        <a:bodyPr/>
        <a:lstStyle/>
        <a:p>
          <a:endParaRPr lang="en-CA"/>
        </a:p>
      </dgm:t>
    </dgm:pt>
    <dgm:pt modelId="{B0E72587-9075-4E20-A132-279FF0E28E37}">
      <dgm:prSet/>
      <dgm:spPr/>
      <dgm:t>
        <a:bodyPr/>
        <a:lstStyle/>
        <a:p>
          <a:r>
            <a:rPr lang="en-CA"/>
            <a:t>Organizational support for evidence-based decision-making</a:t>
          </a:r>
        </a:p>
      </dgm:t>
    </dgm:pt>
    <dgm:pt modelId="{38088D90-345B-4AD9-A36E-59601BC573CA}" type="parTrans" cxnId="{CC38FA2B-669D-47B6-A16A-C605D8499A0A}">
      <dgm:prSet/>
      <dgm:spPr/>
      <dgm:t>
        <a:bodyPr/>
        <a:lstStyle/>
        <a:p>
          <a:endParaRPr lang="en-CA"/>
        </a:p>
      </dgm:t>
    </dgm:pt>
    <dgm:pt modelId="{1F61B5B7-8DC8-414A-A926-B8C5E1BCF9BD}" type="sibTrans" cxnId="{CC38FA2B-669D-47B6-A16A-C605D8499A0A}">
      <dgm:prSet/>
      <dgm:spPr/>
      <dgm:t>
        <a:bodyPr/>
        <a:lstStyle/>
        <a:p>
          <a:endParaRPr lang="en-CA"/>
        </a:p>
      </dgm:t>
    </dgm:pt>
    <dgm:pt modelId="{54D7922B-8863-48EC-9ACB-D8257945FFF3}" type="pres">
      <dgm:prSet presAssocID="{40054866-C16E-4E19-BE36-06C148FE1A7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E2AB190-6E50-4E73-B10F-319B6D61F748}" type="pres">
      <dgm:prSet presAssocID="{60F153C4-9291-47F2-8108-0F60489F02DE}" presName="centerShape" presStyleLbl="node0" presStyleIdx="0" presStyleCnt="1"/>
      <dgm:spPr/>
    </dgm:pt>
    <dgm:pt modelId="{BC8B1255-F1E7-499F-AF83-98C2F0518A29}" type="pres">
      <dgm:prSet presAssocID="{38088D90-345B-4AD9-A36E-59601BC573CA}" presName="parTrans" presStyleLbl="bgSibTrans2D1" presStyleIdx="0" presStyleCnt="5"/>
      <dgm:spPr/>
    </dgm:pt>
    <dgm:pt modelId="{76B3087D-BD63-4638-BC1F-E158F5AD8C79}" type="pres">
      <dgm:prSet presAssocID="{B0E72587-9075-4E20-A132-279FF0E28E37}" presName="node" presStyleLbl="node1" presStyleIdx="0" presStyleCnt="5">
        <dgm:presLayoutVars>
          <dgm:bulletEnabled val="1"/>
        </dgm:presLayoutVars>
      </dgm:prSet>
      <dgm:spPr/>
    </dgm:pt>
    <dgm:pt modelId="{F36913B8-D70D-448B-BD2B-F0947C159EB2}" type="pres">
      <dgm:prSet presAssocID="{9C786FE6-65D5-4DF6-B812-23ED84BBBD24}" presName="parTrans" presStyleLbl="bgSibTrans2D1" presStyleIdx="1" presStyleCnt="5"/>
      <dgm:spPr/>
    </dgm:pt>
    <dgm:pt modelId="{A8D9F790-8E47-462C-A7A8-1A33C80611F8}" type="pres">
      <dgm:prSet presAssocID="{14D42143-AF08-4817-B2C3-A417A6F17A72}" presName="node" presStyleLbl="node1" presStyleIdx="1" presStyleCnt="5">
        <dgm:presLayoutVars>
          <dgm:bulletEnabled val="1"/>
        </dgm:presLayoutVars>
      </dgm:prSet>
      <dgm:spPr/>
    </dgm:pt>
    <dgm:pt modelId="{2AA4688A-4218-4482-AC3B-A4CC54865632}" type="pres">
      <dgm:prSet presAssocID="{41693091-4F70-44C2-B17C-105306377946}" presName="parTrans" presStyleLbl="bgSibTrans2D1" presStyleIdx="2" presStyleCnt="5"/>
      <dgm:spPr/>
    </dgm:pt>
    <dgm:pt modelId="{ABDC0E8A-AA6D-469A-84E8-369D9EB3CCEB}" type="pres">
      <dgm:prSet presAssocID="{3FDAFE14-8BF1-4E60-8C5B-908560C52485}" presName="node" presStyleLbl="node1" presStyleIdx="2" presStyleCnt="5">
        <dgm:presLayoutVars>
          <dgm:bulletEnabled val="1"/>
        </dgm:presLayoutVars>
      </dgm:prSet>
      <dgm:spPr/>
    </dgm:pt>
    <dgm:pt modelId="{D7A4E054-E930-4240-8C16-CD617AB65076}" type="pres">
      <dgm:prSet presAssocID="{47F56704-5933-4D43-83C4-1419C2574F89}" presName="parTrans" presStyleLbl="bgSibTrans2D1" presStyleIdx="3" presStyleCnt="5"/>
      <dgm:spPr/>
    </dgm:pt>
    <dgm:pt modelId="{CFAE68EC-2A7B-4DDB-A2CF-6284C73C9645}" type="pres">
      <dgm:prSet presAssocID="{32F3FB15-37E6-4CED-AA94-D6B93BA75328}" presName="node" presStyleLbl="node1" presStyleIdx="3" presStyleCnt="5">
        <dgm:presLayoutVars>
          <dgm:bulletEnabled val="1"/>
        </dgm:presLayoutVars>
      </dgm:prSet>
      <dgm:spPr/>
    </dgm:pt>
    <dgm:pt modelId="{8DC02E95-3796-4584-A9EE-5502D63CD9EE}" type="pres">
      <dgm:prSet presAssocID="{B5F52962-B71F-4D79-B8F3-F7111A2632E2}" presName="parTrans" presStyleLbl="bgSibTrans2D1" presStyleIdx="4" presStyleCnt="5"/>
      <dgm:spPr/>
    </dgm:pt>
    <dgm:pt modelId="{F817E9D2-760C-4771-9B49-0D136A2C8A36}" type="pres">
      <dgm:prSet presAssocID="{95E17B37-5EED-4A4C-A2E1-9B24CA42FB8B}" presName="node" presStyleLbl="node1" presStyleIdx="4" presStyleCnt="5">
        <dgm:presLayoutVars>
          <dgm:bulletEnabled val="1"/>
        </dgm:presLayoutVars>
      </dgm:prSet>
      <dgm:spPr/>
    </dgm:pt>
  </dgm:ptLst>
  <dgm:cxnLst>
    <dgm:cxn modelId="{11F1BF01-4E6F-42E6-955D-8A5917D78472}" type="presOf" srcId="{9C786FE6-65D5-4DF6-B812-23ED84BBBD24}" destId="{F36913B8-D70D-448B-BD2B-F0947C159EB2}" srcOrd="0" destOrd="0" presId="urn:microsoft.com/office/officeart/2005/8/layout/radial4"/>
    <dgm:cxn modelId="{9F8CCC02-C83F-471F-BC71-AAD83B9F1F0D}" srcId="{60F153C4-9291-47F2-8108-0F60489F02DE}" destId="{14D42143-AF08-4817-B2C3-A417A6F17A72}" srcOrd="1" destOrd="0" parTransId="{9C786FE6-65D5-4DF6-B812-23ED84BBBD24}" sibTransId="{621B48A2-6767-4F15-B9E8-44D910303D5D}"/>
    <dgm:cxn modelId="{BE2C8011-3876-4C12-9DE2-EC68525F03D9}" type="presOf" srcId="{32F3FB15-37E6-4CED-AA94-D6B93BA75328}" destId="{CFAE68EC-2A7B-4DDB-A2CF-6284C73C9645}" srcOrd="0" destOrd="0" presId="urn:microsoft.com/office/officeart/2005/8/layout/radial4"/>
    <dgm:cxn modelId="{68DCC912-009E-4916-BBB7-511C46C37FF9}" type="presOf" srcId="{95E17B37-5EED-4A4C-A2E1-9B24CA42FB8B}" destId="{F817E9D2-760C-4771-9B49-0D136A2C8A36}" srcOrd="0" destOrd="0" presId="urn:microsoft.com/office/officeart/2005/8/layout/radial4"/>
    <dgm:cxn modelId="{CC38FA2B-669D-47B6-A16A-C605D8499A0A}" srcId="{60F153C4-9291-47F2-8108-0F60489F02DE}" destId="{B0E72587-9075-4E20-A132-279FF0E28E37}" srcOrd="0" destOrd="0" parTransId="{38088D90-345B-4AD9-A36E-59601BC573CA}" sibTransId="{1F61B5B7-8DC8-414A-A926-B8C5E1BCF9BD}"/>
    <dgm:cxn modelId="{D291A835-BC43-4BFC-ABF9-94243B2031DD}" type="presOf" srcId="{41693091-4F70-44C2-B17C-105306377946}" destId="{2AA4688A-4218-4482-AC3B-A4CC54865632}" srcOrd="0" destOrd="0" presId="urn:microsoft.com/office/officeart/2005/8/layout/radial4"/>
    <dgm:cxn modelId="{A7860440-6EF2-4CE7-978A-E0B81AE75E10}" type="presOf" srcId="{14D42143-AF08-4817-B2C3-A417A6F17A72}" destId="{A8D9F790-8E47-462C-A7A8-1A33C80611F8}" srcOrd="0" destOrd="0" presId="urn:microsoft.com/office/officeart/2005/8/layout/radial4"/>
    <dgm:cxn modelId="{AFD8EE50-0DEE-4F4D-A653-F94AE72EDCD4}" type="presOf" srcId="{40054866-C16E-4E19-BE36-06C148FE1A7D}" destId="{54D7922B-8863-48EC-9ACB-D8257945FFF3}" srcOrd="0" destOrd="0" presId="urn:microsoft.com/office/officeart/2005/8/layout/radial4"/>
    <dgm:cxn modelId="{75D03057-C77A-436C-9060-E4FAFB7B96B8}" srcId="{60F153C4-9291-47F2-8108-0F60489F02DE}" destId="{32F3FB15-37E6-4CED-AA94-D6B93BA75328}" srcOrd="3" destOrd="0" parTransId="{47F56704-5933-4D43-83C4-1419C2574F89}" sibTransId="{B154802C-E9DB-4074-BF77-92F55A65A3D4}"/>
    <dgm:cxn modelId="{2694CE7A-C253-4444-96A5-026DBB730FA6}" type="presOf" srcId="{B5F52962-B71F-4D79-B8F3-F7111A2632E2}" destId="{8DC02E95-3796-4584-A9EE-5502D63CD9EE}" srcOrd="0" destOrd="0" presId="urn:microsoft.com/office/officeart/2005/8/layout/radial4"/>
    <dgm:cxn modelId="{4A2BD599-85CE-4160-8A96-6A792385BC77}" type="presOf" srcId="{47F56704-5933-4D43-83C4-1419C2574F89}" destId="{D7A4E054-E930-4240-8C16-CD617AB65076}" srcOrd="0" destOrd="0" presId="urn:microsoft.com/office/officeart/2005/8/layout/radial4"/>
    <dgm:cxn modelId="{E58C4C9D-7C5C-425F-A84C-F88DC548A3C9}" srcId="{60F153C4-9291-47F2-8108-0F60489F02DE}" destId="{95E17B37-5EED-4A4C-A2E1-9B24CA42FB8B}" srcOrd="4" destOrd="0" parTransId="{B5F52962-B71F-4D79-B8F3-F7111A2632E2}" sibTransId="{4B912BF0-B0B5-44E5-BE00-83D7A9E6EEB7}"/>
    <dgm:cxn modelId="{2E69CAA1-698F-453A-853C-12A73C2946E5}" srcId="{40054866-C16E-4E19-BE36-06C148FE1A7D}" destId="{60F153C4-9291-47F2-8108-0F60489F02DE}" srcOrd="0" destOrd="0" parTransId="{F91F0ADB-BFAC-4ED0-8A91-AC4A4247BAE6}" sibTransId="{63F67257-C6B6-46EB-8199-F15F3BC7BB10}"/>
    <dgm:cxn modelId="{376D6EAF-191F-4ADA-AB2F-21837590B87C}" srcId="{60F153C4-9291-47F2-8108-0F60489F02DE}" destId="{3FDAFE14-8BF1-4E60-8C5B-908560C52485}" srcOrd="2" destOrd="0" parTransId="{41693091-4F70-44C2-B17C-105306377946}" sibTransId="{49321C46-6EE2-4510-9362-83A6F21608E4}"/>
    <dgm:cxn modelId="{C16E71CA-74D0-4405-BDD9-58024BD97866}" type="presOf" srcId="{38088D90-345B-4AD9-A36E-59601BC573CA}" destId="{BC8B1255-F1E7-499F-AF83-98C2F0518A29}" srcOrd="0" destOrd="0" presId="urn:microsoft.com/office/officeart/2005/8/layout/radial4"/>
    <dgm:cxn modelId="{E9EDECCE-21B1-472A-AEB5-B19F7AF0D202}" type="presOf" srcId="{60F153C4-9291-47F2-8108-0F60489F02DE}" destId="{BE2AB190-6E50-4E73-B10F-319B6D61F748}" srcOrd="0" destOrd="0" presId="urn:microsoft.com/office/officeart/2005/8/layout/radial4"/>
    <dgm:cxn modelId="{AEA01CF2-7ADC-4926-80CD-AADAC52B73A2}" type="presOf" srcId="{3FDAFE14-8BF1-4E60-8C5B-908560C52485}" destId="{ABDC0E8A-AA6D-469A-84E8-369D9EB3CCEB}" srcOrd="0" destOrd="0" presId="urn:microsoft.com/office/officeart/2005/8/layout/radial4"/>
    <dgm:cxn modelId="{A7EC48F7-D4FA-41A7-886F-25F257458A02}" type="presOf" srcId="{B0E72587-9075-4E20-A132-279FF0E28E37}" destId="{76B3087D-BD63-4638-BC1F-E158F5AD8C79}" srcOrd="0" destOrd="0" presId="urn:microsoft.com/office/officeart/2005/8/layout/radial4"/>
    <dgm:cxn modelId="{91D0F00C-B313-47F0-8536-E0F1E4745139}" type="presParOf" srcId="{54D7922B-8863-48EC-9ACB-D8257945FFF3}" destId="{BE2AB190-6E50-4E73-B10F-319B6D61F748}" srcOrd="0" destOrd="0" presId="urn:microsoft.com/office/officeart/2005/8/layout/radial4"/>
    <dgm:cxn modelId="{B180FA6A-423C-4AF3-A1B0-99CD36C28B16}" type="presParOf" srcId="{54D7922B-8863-48EC-9ACB-D8257945FFF3}" destId="{BC8B1255-F1E7-499F-AF83-98C2F0518A29}" srcOrd="1" destOrd="0" presId="urn:microsoft.com/office/officeart/2005/8/layout/radial4"/>
    <dgm:cxn modelId="{8705DA22-5292-4928-8D2E-66F5398773C6}" type="presParOf" srcId="{54D7922B-8863-48EC-9ACB-D8257945FFF3}" destId="{76B3087D-BD63-4638-BC1F-E158F5AD8C79}" srcOrd="2" destOrd="0" presId="urn:microsoft.com/office/officeart/2005/8/layout/radial4"/>
    <dgm:cxn modelId="{91777364-404B-4960-904E-EB6034313F55}" type="presParOf" srcId="{54D7922B-8863-48EC-9ACB-D8257945FFF3}" destId="{F36913B8-D70D-448B-BD2B-F0947C159EB2}" srcOrd="3" destOrd="0" presId="urn:microsoft.com/office/officeart/2005/8/layout/radial4"/>
    <dgm:cxn modelId="{D071113D-5CAD-4E56-A8A4-1274DE307497}" type="presParOf" srcId="{54D7922B-8863-48EC-9ACB-D8257945FFF3}" destId="{A8D9F790-8E47-462C-A7A8-1A33C80611F8}" srcOrd="4" destOrd="0" presId="urn:microsoft.com/office/officeart/2005/8/layout/radial4"/>
    <dgm:cxn modelId="{5F8A115B-E51C-4AC8-B757-542F0B67ACF6}" type="presParOf" srcId="{54D7922B-8863-48EC-9ACB-D8257945FFF3}" destId="{2AA4688A-4218-4482-AC3B-A4CC54865632}" srcOrd="5" destOrd="0" presId="urn:microsoft.com/office/officeart/2005/8/layout/radial4"/>
    <dgm:cxn modelId="{1364E18C-7691-455D-986C-280430F3501B}" type="presParOf" srcId="{54D7922B-8863-48EC-9ACB-D8257945FFF3}" destId="{ABDC0E8A-AA6D-469A-84E8-369D9EB3CCEB}" srcOrd="6" destOrd="0" presId="urn:microsoft.com/office/officeart/2005/8/layout/radial4"/>
    <dgm:cxn modelId="{252FAA4E-52BD-4A87-8612-FA9BAEF4F0CF}" type="presParOf" srcId="{54D7922B-8863-48EC-9ACB-D8257945FFF3}" destId="{D7A4E054-E930-4240-8C16-CD617AB65076}" srcOrd="7" destOrd="0" presId="urn:microsoft.com/office/officeart/2005/8/layout/radial4"/>
    <dgm:cxn modelId="{3D204749-D887-4161-B847-86CA6E849232}" type="presParOf" srcId="{54D7922B-8863-48EC-9ACB-D8257945FFF3}" destId="{CFAE68EC-2A7B-4DDB-A2CF-6284C73C9645}" srcOrd="8" destOrd="0" presId="urn:microsoft.com/office/officeart/2005/8/layout/radial4"/>
    <dgm:cxn modelId="{561E0870-37E4-4A21-800E-A4A62B67FCF2}" type="presParOf" srcId="{54D7922B-8863-48EC-9ACB-D8257945FFF3}" destId="{8DC02E95-3796-4584-A9EE-5502D63CD9EE}" srcOrd="9" destOrd="0" presId="urn:microsoft.com/office/officeart/2005/8/layout/radial4"/>
    <dgm:cxn modelId="{C791C04D-CB3F-4EB5-895C-2DA3351757C4}" type="presParOf" srcId="{54D7922B-8863-48EC-9ACB-D8257945FFF3}" destId="{F817E9D2-760C-4771-9B49-0D136A2C8A36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AB190-6E50-4E73-B10F-319B6D61F748}">
      <dsp:nvSpPr>
        <dsp:cNvPr id="0" name=""/>
        <dsp:cNvSpPr/>
      </dsp:nvSpPr>
      <dsp:spPr>
        <a:xfrm>
          <a:off x="2061846" y="1837556"/>
          <a:ext cx="1362706" cy="1362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Solid, justifiable, defendable decision</a:t>
          </a:r>
        </a:p>
      </dsp:txBody>
      <dsp:txXfrm>
        <a:off x="2261410" y="2037120"/>
        <a:ext cx="963578" cy="963578"/>
      </dsp:txXfrm>
    </dsp:sp>
    <dsp:sp modelId="{BC8B1255-F1E7-499F-AF83-98C2F0518A29}">
      <dsp:nvSpPr>
        <dsp:cNvPr id="0" name=""/>
        <dsp:cNvSpPr/>
      </dsp:nvSpPr>
      <dsp:spPr>
        <a:xfrm rot="10800000">
          <a:off x="742255" y="2324724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B3087D-BD63-4638-BC1F-E158F5AD8C79}">
      <dsp:nvSpPr>
        <dsp:cNvPr id="0" name=""/>
        <dsp:cNvSpPr/>
      </dsp:nvSpPr>
      <dsp:spPr>
        <a:xfrm>
          <a:off x="94970" y="2001081"/>
          <a:ext cx="1294570" cy="1035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Organizational support for evidence-based decision-making</a:t>
          </a:r>
        </a:p>
      </dsp:txBody>
      <dsp:txXfrm>
        <a:off x="125303" y="2031414"/>
        <a:ext cx="1233904" cy="974990"/>
      </dsp:txXfrm>
    </dsp:sp>
    <dsp:sp modelId="{F36913B8-D70D-448B-BD2B-F0947C159EB2}">
      <dsp:nvSpPr>
        <dsp:cNvPr id="0" name=""/>
        <dsp:cNvSpPr/>
      </dsp:nvSpPr>
      <dsp:spPr>
        <a:xfrm rot="13500000">
          <a:off x="1145697" y="1350728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D9F790-8E47-462C-A7A8-1A33C80611F8}">
      <dsp:nvSpPr>
        <dsp:cNvPr id="0" name=""/>
        <dsp:cNvSpPr/>
      </dsp:nvSpPr>
      <dsp:spPr>
        <a:xfrm>
          <a:off x="681033" y="586200"/>
          <a:ext cx="1294570" cy="1035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Belief in value of using evidence to support decisions</a:t>
          </a:r>
        </a:p>
      </dsp:txBody>
      <dsp:txXfrm>
        <a:off x="711366" y="616533"/>
        <a:ext cx="1233904" cy="974990"/>
      </dsp:txXfrm>
    </dsp:sp>
    <dsp:sp modelId="{2AA4688A-4218-4482-AC3B-A4CC54865632}">
      <dsp:nvSpPr>
        <dsp:cNvPr id="0" name=""/>
        <dsp:cNvSpPr/>
      </dsp:nvSpPr>
      <dsp:spPr>
        <a:xfrm rot="16200000">
          <a:off x="2119692" y="947286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C0E8A-AA6D-469A-84E8-369D9EB3CCEB}">
      <dsp:nvSpPr>
        <dsp:cNvPr id="0" name=""/>
        <dsp:cNvSpPr/>
      </dsp:nvSpPr>
      <dsp:spPr>
        <a:xfrm>
          <a:off x="2095914" y="137"/>
          <a:ext cx="1294570" cy="1035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Availability and accessibility of research findings/ evidence/data/information</a:t>
          </a:r>
        </a:p>
      </dsp:txBody>
      <dsp:txXfrm>
        <a:off x="2126247" y="30470"/>
        <a:ext cx="1233904" cy="974990"/>
      </dsp:txXfrm>
    </dsp:sp>
    <dsp:sp modelId="{D7A4E054-E930-4240-8C16-CD617AB65076}">
      <dsp:nvSpPr>
        <dsp:cNvPr id="0" name=""/>
        <dsp:cNvSpPr/>
      </dsp:nvSpPr>
      <dsp:spPr>
        <a:xfrm rot="18900000">
          <a:off x="3093688" y="1350728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E68EC-2A7B-4DDB-A2CF-6284C73C9645}">
      <dsp:nvSpPr>
        <dsp:cNvPr id="0" name=""/>
        <dsp:cNvSpPr/>
      </dsp:nvSpPr>
      <dsp:spPr>
        <a:xfrm>
          <a:off x="3510796" y="586200"/>
          <a:ext cx="1294570" cy="1035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Good evaluation of research/data/evidence using critical thinking</a:t>
          </a:r>
        </a:p>
      </dsp:txBody>
      <dsp:txXfrm>
        <a:off x="3541129" y="616533"/>
        <a:ext cx="1233904" cy="974990"/>
      </dsp:txXfrm>
    </dsp:sp>
    <dsp:sp modelId="{8DC02E95-3796-4584-A9EE-5502D63CD9EE}">
      <dsp:nvSpPr>
        <dsp:cNvPr id="0" name=""/>
        <dsp:cNvSpPr/>
      </dsp:nvSpPr>
      <dsp:spPr>
        <a:xfrm>
          <a:off x="3497130" y="2324724"/>
          <a:ext cx="1247014" cy="38837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7E9D2-760C-4771-9B49-0D136A2C8A36}">
      <dsp:nvSpPr>
        <dsp:cNvPr id="0" name=""/>
        <dsp:cNvSpPr/>
      </dsp:nvSpPr>
      <dsp:spPr>
        <a:xfrm>
          <a:off x="4096859" y="2001081"/>
          <a:ext cx="1294570" cy="1035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Clear processes for applying evidence to decision-making</a:t>
          </a:r>
        </a:p>
      </dsp:txBody>
      <dsp:txXfrm>
        <a:off x="4127192" y="2031414"/>
        <a:ext cx="1233904" cy="974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Gorley</dc:creator>
  <cp:keywords/>
  <dc:description/>
  <cp:lastModifiedBy>Charlotte Gorley</cp:lastModifiedBy>
  <cp:revision>5</cp:revision>
  <dcterms:created xsi:type="dcterms:W3CDTF">2021-03-25T21:46:00Z</dcterms:created>
  <dcterms:modified xsi:type="dcterms:W3CDTF">2021-03-26T22:20:00Z</dcterms:modified>
</cp:coreProperties>
</file>